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5"/>
          <w:szCs w:val="45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5"/>
          <w:szCs w:val="45"/>
          <w:lang w:eastAsia="zh-CN"/>
        </w:rPr>
        <w:t>工商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5"/>
          <w:szCs w:val="45"/>
        </w:rPr>
        <w:t>户报装业务告知及流程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一、事项类型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公共服务    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二、设定依据</w:t>
      </w:r>
    </w:p>
    <w:p>
      <w:pPr>
        <w:widowControl/>
        <w:shd w:val="clear" w:color="auto" w:fill="FFFFFF"/>
        <w:spacing w:line="451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1、《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马鞍山市城市供水管理办法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》第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十一条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；    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、《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马鞍山市城市供水管理办法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》第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二十条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；    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三、受理条件及范围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1、在马鞍山市博望区（博望镇）特许经营权范围内。    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2、企业法人、事业法人、社会组织法人、非法人企业、行政机关，其他组织。      </w:t>
      </w:r>
      <w:bookmarkStart w:id="0" w:name="_GoBack"/>
      <w:bookmarkEnd w:id="0"/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供水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场所须符合《城镇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供水条例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》安装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自来水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相关国家规范、标准的要求。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四、申报材料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《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接水业务申请书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》 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、《勘察单》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     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五、办理流程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1、用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办理环节为申请受理、接入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水表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2个环节。    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2、申请人提交申请后，即时完成申请受理。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3、申请人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前期安装工作完善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的前提下，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个工作日内完成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装接水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表。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六、办理时限</w:t>
      </w:r>
    </w:p>
    <w:p>
      <w:pPr>
        <w:widowControl/>
        <w:shd w:val="clear" w:color="auto" w:fill="FFFFFF"/>
        <w:spacing w:line="451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个工作日。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七、办理地点</w:t>
      </w:r>
    </w:p>
    <w:p>
      <w:pPr>
        <w:widowControl/>
        <w:shd w:val="clear" w:color="auto" w:fill="FFFFFF"/>
        <w:spacing w:line="451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1、博望区博望镇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新合路东段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；     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2、博望区南环路莲花广场正西130米，政务服务中心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自来水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业务服务窗口。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八、咨询电话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0555-6764098</w:t>
      </w:r>
    </w:p>
    <w:p>
      <w:pPr>
        <w:widowControl/>
        <w:shd w:val="clear" w:color="auto" w:fill="FFFFFF"/>
        <w:spacing w:line="451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九、投诉电话</w:t>
      </w:r>
    </w:p>
    <w:p>
      <w:pPr>
        <w:widowControl/>
        <w:shd w:val="clear" w:color="auto" w:fill="FFFFFF"/>
        <w:spacing w:line="451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0555-676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9048</w:t>
      </w:r>
    </w:p>
    <w:p>
      <w:pPr>
        <w:widowControl/>
        <w:shd w:val="clear" w:color="auto" w:fill="FFFFFF"/>
        <w:spacing w:line="451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附：流程图</w:t>
      </w:r>
    </w:p>
    <w:p>
      <w:pPr>
        <w:widowControl/>
        <w:shd w:val="clear" w:color="auto" w:fill="FFFFFF"/>
        <w:spacing w:line="451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drawing>
          <wp:inline distT="0" distB="0" distL="114300" distR="114300">
            <wp:extent cx="3387725" cy="4806950"/>
            <wp:effectExtent l="0" t="0" r="3175" b="12700"/>
            <wp:docPr id="2" name="图片 2" descr="16621013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21013000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mMGY2NWY3MDg1YzIzNWI5ZTEyNzY0N2I1MzA5MzkifQ=="/>
  </w:docVars>
  <w:rsids>
    <w:rsidRoot w:val="004C6B31"/>
    <w:rsid w:val="0039662B"/>
    <w:rsid w:val="003F0203"/>
    <w:rsid w:val="004410FC"/>
    <w:rsid w:val="004C6B31"/>
    <w:rsid w:val="004E2700"/>
    <w:rsid w:val="005247B5"/>
    <w:rsid w:val="00620CB7"/>
    <w:rsid w:val="006F76AB"/>
    <w:rsid w:val="008B0F8F"/>
    <w:rsid w:val="00D567FC"/>
    <w:rsid w:val="00F636FB"/>
    <w:rsid w:val="00F76C5C"/>
    <w:rsid w:val="17284735"/>
    <w:rsid w:val="1C194030"/>
    <w:rsid w:val="1F882528"/>
    <w:rsid w:val="21422CB8"/>
    <w:rsid w:val="41832831"/>
    <w:rsid w:val="57764158"/>
    <w:rsid w:val="5D143B4B"/>
    <w:rsid w:val="747F166F"/>
    <w:rsid w:val="7BC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361</Words>
  <Characters>385</Characters>
  <Lines>4</Lines>
  <Paragraphs>1</Paragraphs>
  <TotalTime>8</TotalTime>
  <ScaleCrop>false</ScaleCrop>
  <LinksUpToDate>false</LinksUpToDate>
  <CharactersWithSpaces>446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2022-06-29T02:24:00Z</dcterms:created>
  <dc:creator>Windows 用户</dc:creator>
  <cp:lastModifiedBy>未定义</cp:lastModifiedBy>
  <dcterms:modified xsi:type="dcterms:W3CDTF">2022-09-02T08:39:51Z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4AF92E9558B54C20BDEED299A366D69A</vt:lpwstr>
  </property>
</Properties>
</file>